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85E64"/>
          <w:sz w:val="32"/>
        </w:rPr>
        <w:t>TeacherTips.ai — AI Tool Vetting &amp; Procurement Checklist (K‑12)</w:t>
      </w:r>
    </w:p>
    <w:p>
      <w:pPr>
        <w:jc w:val="center"/>
        <w:pBdr>
          <w:bottom w:val="single" w:sz="6" w:color="585e64"/>
        </w:pBdr>
      </w:pPr>
      <w:r/>
    </w:p>
    <w:p>
      <w:pPr>
        <w:pStyle w:val="BodySmall"/>
      </w:pPr>
      <w:r>
        <w:t>Version: 2025-08-28</w:t>
      </w:r>
    </w:p>
    <w:p>
      <w:pPr>
        <w:pStyle w:val="BrandHeading"/>
      </w:pPr>
      <w:r>
        <w:br/>
        <w:t>Vendor &amp; Tool Info</w:t>
      </w:r>
    </w:p>
    <w:p>
      <w:pPr>
        <w:pStyle w:val="BodySmall"/>
      </w:pPr>
      <w:r>
        <w:t>Tool name/version; hosting; contact; security certifications; age gating.</w:t>
      </w:r>
    </w:p>
    <w:p>
      <w:pPr>
        <w:pStyle w:val="BrandHeading"/>
      </w:pPr>
      <w:r>
        <w:br/>
        <w:t>Privacy &amp; Student Data</w:t>
      </w:r>
    </w:p>
    <w:p>
      <w:pPr>
        <w:pStyle w:val="BodySmall"/>
      </w:pPr>
      <w:r>
        <w:t>Data elements; parental notice/consent; school‑official terms; training on data; redisclosure; deletion timelines.</w:t>
      </w:r>
    </w:p>
    <w:p>
      <w:pPr>
        <w:pStyle w:val="BrandHeading"/>
      </w:pPr>
      <w:r>
        <w:br/>
        <w:t>Security</w:t>
      </w:r>
    </w:p>
    <w:p>
      <w:pPr>
        <w:pStyle w:val="BodySmall"/>
      </w:pPr>
      <w:r>
        <w:t>SSO, encryption, RBAC, audit logs, incident response, pen test.</w:t>
      </w:r>
    </w:p>
    <w:p>
      <w:pPr>
        <w:pStyle w:val="BrandHeading"/>
      </w:pPr>
      <w:r>
        <w:br/>
        <w:t>Accessibility (WCAG 2.2 AA)</w:t>
      </w:r>
    </w:p>
    <w:p>
      <w:pPr>
        <w:pStyle w:val="BodySmall"/>
      </w:pPr>
      <w:r>
        <w:t>Keyboard navigation; alternative text; captions; screen‑reader support; VPAT.</w:t>
      </w:r>
    </w:p>
    <w:p>
      <w:pPr>
        <w:pStyle w:val="BrandHeading"/>
      </w:pPr>
      <w:r>
        <w:br/>
        <w:t>Bias/Safety/Content Controls</w:t>
      </w:r>
    </w:p>
    <w:p>
      <w:pPr>
        <w:pStyle w:val="BodySmall"/>
      </w:pPr>
      <w:r>
        <w:t>Age filters; profanity/violence filters; bias testing; reporting/appeals; educator dashboards.</w:t>
      </w:r>
    </w:p>
    <w:p>
      <w:pPr>
        <w:pStyle w:val="BrandHeading"/>
      </w:pPr>
      <w:r>
        <w:br/>
        <w:t>Pedagogy</w:t>
      </w:r>
    </w:p>
    <w:p>
      <w:pPr>
        <w:pStyle w:val="BodySmall"/>
      </w:pPr>
      <w:r>
        <w:t>Alignment to standards; teacher controls; transparency of AI outputs; explainability where feasible.</w:t>
      </w:r>
    </w:p>
    <w:p>
      <w:pPr>
        <w:pStyle w:val="BrandHeading"/>
      </w:pPr>
      <w:r>
        <w:br/>
        <w:t>Governance &amp; Cost</w:t>
      </w:r>
    </w:p>
    <w:p>
      <w:pPr>
        <w:pStyle w:val="BodySmall"/>
      </w:pPr>
      <w:r>
        <w:t>Data retention/export; admin controls; parent comms; pricing; exit plan.</w:t>
      </w:r>
    </w:p>
    <w:sectPr w:rsidR="00FC693F" w:rsidRPr="0006063C" w:rsidSect="00034616">
      <w:headerReference w:type="default" r:id="rId9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097280" cy="109728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NextGen Classroom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Small">
    <w:name w:val="BodySmall"/>
    <w:rPr>
      <w:rFonts w:ascii="Calibri" w:hAnsi="Calibri"/>
      <w:sz w:val="22"/>
    </w:rPr>
  </w:style>
  <w:style w:type="paragraph" w:customStyle="1" w:styleId="BrandHeading">
    <w:name w:val="BrandHeading"/>
    <w:rPr>
      <w:rFonts w:ascii="Calibri" w:hAnsi="Calibri"/>
      <w:b/>
      <w:color w:val="585E64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