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585E64"/>
          <w:sz w:val="32"/>
        </w:rPr>
        <w:t>TeacherTips.ai — K‑12 Data Privacy &amp; AI Policy Template</w:t>
      </w:r>
    </w:p>
    <w:p>
      <w:pPr>
        <w:jc w:val="center"/>
        <w:pBdr>
          <w:bottom w:val="single" w:sz="6" w:color="585e64"/>
        </w:pBdr>
      </w:pPr>
      <w:r/>
    </w:p>
    <w:p>
      <w:pPr>
        <w:pStyle w:val="BodySmall"/>
      </w:pPr>
      <w:r>
        <w:t>Version: 2025-08-28</w:t>
      </w:r>
    </w:p>
    <w:p>
      <w:pPr>
        <w:pStyle w:val="BrandHeading"/>
      </w:pPr>
      <w:r>
        <w:br/>
        <w:t>Scope &amp; Relationship to Existing Policies</w:t>
      </w:r>
    </w:p>
    <w:p>
      <w:pPr>
        <w:pStyle w:val="BodySmall"/>
      </w:pPr>
      <w:r>
        <w:t>Supplements district privacy, acceptable use, and records policies; governs AI tools and AI features within district systems.</w:t>
      </w:r>
    </w:p>
    <w:p>
      <w:pPr>
        <w:pStyle w:val="BrandHeading"/>
      </w:pPr>
      <w:r>
        <w:br/>
        <w:t>Principles</w:t>
      </w:r>
    </w:p>
    <w:p>
      <w:pPr>
        <w:pStyle w:val="BodySmall"/>
      </w:pPr>
      <w:r>
        <w:t>Data minimization; purpose limitation; transparency; security; parental notice/choice; accessibility; human oversight.</w:t>
      </w:r>
    </w:p>
    <w:p>
      <w:pPr>
        <w:pStyle w:val="BrandHeading"/>
      </w:pPr>
      <w:r>
        <w:br/>
        <w:t>Approved Tools &amp; School‑Official Agreements</w:t>
      </w:r>
    </w:p>
    <w:p>
      <w:pPr>
        <w:pStyle w:val="BodySmall"/>
      </w:pPr>
      <w:r>
        <w:t>Use only vendor tools under contract that (a) place the vendor under district’s direct control; (b) restrict use and redisclosure; (c) prohibit training on education records unless expressly authorized.</w:t>
      </w:r>
    </w:p>
    <w:p>
      <w:pPr>
        <w:pStyle w:val="BrandHeading"/>
      </w:pPr>
      <w:r>
        <w:br/>
        <w:t>COPPA (Under 13)</w:t>
      </w:r>
    </w:p>
    <w:p>
      <w:pPr>
        <w:pStyle w:val="BodySmall"/>
      </w:pPr>
      <w:r>
        <w:t>Obtain verifiable parental consent OR rely on school‑official exception with parental notice; document data elements, purposes, and retention.</w:t>
      </w:r>
    </w:p>
    <w:p>
      <w:pPr>
        <w:pStyle w:val="BrandHeading"/>
      </w:pPr>
      <w:r>
        <w:br/>
        <w:t>PPRA</w:t>
      </w:r>
    </w:p>
    <w:p>
      <w:pPr>
        <w:pStyle w:val="BodySmall"/>
      </w:pPr>
      <w:r>
        <w:t>Parental consent required before students are asked about protected topics; provide opt‑out opportunities; review AI‑assisted survey prompts for content.</w:t>
      </w:r>
    </w:p>
    <w:p>
      <w:pPr>
        <w:pStyle w:val="BrandHeading"/>
      </w:pPr>
      <w:r>
        <w:br/>
        <w:t>Teacher/Staff Guidance</w:t>
      </w:r>
    </w:p>
    <w:p>
      <w:pPr>
        <w:pStyle w:val="BodySmall"/>
      </w:pPr>
      <w:r>
        <w:t>Keep PII out of public AI tools; use enterprise/approved tools; do not upload IEP/504 or health information; avoid AI detectors as sole evidence.</w:t>
      </w:r>
    </w:p>
    <w:p>
      <w:pPr>
        <w:pStyle w:val="BrandHeading"/>
      </w:pPr>
      <w:r>
        <w:br/>
        <w:t>Retention &amp; Deletion</w:t>
      </w:r>
    </w:p>
    <w:p>
      <w:pPr>
        <w:pStyle w:val="BodySmall"/>
      </w:pPr>
      <w:r>
        <w:t>Publish retention for AI prompt logs and student artifacts; provide a process for parent/student access, correction, or deletion where permitted.</w:t>
      </w:r>
    </w:p>
    <w:p>
      <w:pPr>
        <w:pStyle w:val="BrandHeading"/>
      </w:pPr>
      <w:r>
        <w:br/>
        <w:t>Incident Response</w:t>
      </w:r>
    </w:p>
    <w:p>
      <w:pPr>
        <w:pStyle w:val="BodySmall"/>
      </w:pPr>
      <w:r>
        <w:t>Notify privacy/security leads immediately for suspected disclosure or breach; coordinate family communication as needed.</w:t>
      </w:r>
    </w:p>
    <w:sectPr w:rsidR="00FC693F" w:rsidRPr="0006063C" w:rsidSect="00034616">
      <w:headerReference w:type="default" r:id="rId9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097280" cy="109728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NextGen Classroom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109728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Small">
    <w:name w:val="BodySmall"/>
    <w:rPr>
      <w:rFonts w:ascii="Calibri" w:hAnsi="Calibri"/>
      <w:sz w:val="22"/>
    </w:rPr>
  </w:style>
  <w:style w:type="paragraph" w:customStyle="1" w:styleId="BrandHeading">
    <w:name w:val="BrandHeading"/>
    <w:rPr>
      <w:rFonts w:ascii="Calibri" w:hAnsi="Calibri"/>
      <w:b/>
      <w:color w:val="585E64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