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585E64"/>
          <w:sz w:val="32"/>
        </w:rPr>
        <w:t>TeacherTips.ai — K‑12 Institutional AI Policy Template</w:t>
      </w:r>
    </w:p>
    <w:p>
      <w:pPr>
        <w:jc w:val="center"/>
      </w:pPr>
      <w:r>
        <w:rPr>
          <w:color w:val="979A9B"/>
          <w:sz w:val="22"/>
        </w:rPr>
        <w:t>Includes FERPA, COPPA, PPRA, IDEA/504 alignment</w:t>
      </w:r>
    </w:p>
    <w:p>
      <w:pPr>
        <w:jc w:val="center"/>
        <w:pBdr>
          <w:bottom w:val="single" w:sz="6" w:color="585e64"/>
        </w:pBdr>
      </w:pPr>
      <w:r/>
    </w:p>
    <w:p>
      <w:pPr>
        <w:pStyle w:val="BodySmall"/>
      </w:pPr>
      <w:r>
        <w:t>Version: 2025-08-28</w:t>
      </w:r>
    </w:p>
    <w:p>
      <w:pPr>
        <w:pStyle w:val="BrandHeading"/>
      </w:pPr>
      <w:r>
        <w:br/>
        <w:t>Purpose &amp; Scope</w:t>
      </w:r>
    </w:p>
    <w:p>
      <w:pPr>
        <w:pStyle w:val="BodySmall"/>
      </w:pPr>
      <w:r>
        <w:t>District‑level policy establishing expectations for AI use in K‑12 teaching, learning, assessment, operations, and family communication. Applies to all staff and students (PreK–12).</w:t>
      </w:r>
    </w:p>
    <w:p>
      <w:pPr>
        <w:pStyle w:val="BrandHeading"/>
      </w:pPr>
      <w:r>
        <w:br/>
        <w:t>Definitions</w:t>
      </w:r>
    </w:p>
    <w:p>
      <w:pPr>
        <w:pStyle w:val="BodySmall"/>
      </w:pPr>
      <w:r>
        <w:t>Generative AI: Tools that create new text, images, code, audio, or video (e.g., ChatGPT, Gemini, Copilot).</w:t>
      </w:r>
    </w:p>
    <w:p>
      <w:pPr>
        <w:pStyle w:val="BodySmall"/>
      </w:pPr>
      <w:r>
        <w:t>Assistive Technology (AT): Tools that support access/communication for students with disabilities (e.g., text‑to‑speech, speech‑to‑text, captioning).</w:t>
      </w:r>
    </w:p>
    <w:p>
      <w:pPr>
        <w:pStyle w:val="BodySmall"/>
      </w:pPr>
      <w:r>
        <w:t>Education Records/PII: Student records protected by FERPA and, as applicable, IDEA Part B.</w:t>
      </w:r>
    </w:p>
    <w:p>
      <w:pPr>
        <w:pStyle w:val="BodySmall"/>
      </w:pPr>
      <w:r>
        <w:t>Online Student Service: Third‑party online tool used for instruction or assessment; may be subject to COPPA for under‑13 students and PPRA for surveys.</w:t>
      </w:r>
    </w:p>
    <w:p>
      <w:pPr>
        <w:pStyle w:val="BrandHeading"/>
      </w:pPr>
      <w:r>
        <w:br/>
        <w:t>Roles &amp; Responsibilities</w:t>
      </w:r>
    </w:p>
    <w:p>
      <w:pPr>
        <w:pStyle w:val="BodySmall"/>
      </w:pPr>
      <w:r>
        <w:t>District: Vet tools for privacy, security, accessibility, and age‑appropriateness; negotiate contracts; publish approved‑tools list; provide PD.</w:t>
      </w:r>
    </w:p>
    <w:p>
      <w:pPr>
        <w:pStyle w:val="BodySmall"/>
      </w:pPr>
      <w:r>
        <w:t>School Leaders: Implement policy, communicate with families, ensure compliance with FERPA/COPPA/PPRA/IDEA/504; convene IEP/504 teams for AT decisions.</w:t>
      </w:r>
    </w:p>
    <w:p>
      <w:pPr>
        <w:pStyle w:val="BodySmall"/>
      </w:pPr>
      <w:r>
        <w:t>Teachers/Staff: Follow tool‑use guidance; set assignment‑level rules; protect student data; teach critical AI literacy; honor IEP/504 accommodations.</w:t>
      </w:r>
    </w:p>
    <w:p>
      <w:pPr>
        <w:pStyle w:val="BodySmall"/>
      </w:pPr>
      <w:r>
        <w:t>Students &amp; Families: Follow classroom rules; protect privacy; ask questions about data use; sign consent where required.</w:t>
      </w:r>
    </w:p>
    <w:p>
      <w:pPr>
        <w:pStyle w:val="BrandHeading"/>
      </w:pPr>
      <w:r>
        <w:br/>
        <w:t>Categories of AI Use</w:t>
      </w:r>
    </w:p>
    <w:p>
      <w:pPr>
        <w:pStyle w:val="BodySmall"/>
      </w:pPr>
      <w:r>
        <w:t>Prohibited: Uploading student PII or identifiable work to non‑approved public AI systems; uses that bypass essential learning or violate law/policy.</w:t>
      </w:r>
    </w:p>
    <w:p>
      <w:pPr>
        <w:pStyle w:val="BodySmall"/>
      </w:pPr>
      <w:r>
        <w:t>Restricted (Allowed with Conditions): Brainstorming, outlining, revision suggestions, code hints—only with teacher direction and age‑appropriate safeguards.</w:t>
      </w:r>
    </w:p>
    <w:p>
      <w:pPr>
        <w:pStyle w:val="BodySmall"/>
      </w:pPr>
      <w:r>
        <w:t>Generally Permitted: AT tools necessary for access under IEP/504; district‑approved AI features in core platforms.</w:t>
      </w:r>
    </w:p>
    <w:p>
      <w:pPr>
        <w:pStyle w:val="BrandHeading"/>
      </w:pPr>
      <w:r>
        <w:br/>
        <w:t>Accessibility &amp; FAPE (504/IEP)</w:t>
      </w:r>
    </w:p>
    <w:p>
      <w:pPr>
        <w:pStyle w:val="BodySmall"/>
      </w:pPr>
      <w:r>
        <w:t>IEP/504 teams determine AT and accommodations; AI‑enabled AT may be provided to ensure FAPE and effective communication.</w:t>
      </w:r>
    </w:p>
    <w:p>
      <w:pPr>
        <w:pStyle w:val="BodySmall"/>
      </w:pPr>
      <w:r>
        <w:t>Accommodations must not fundamentally alter essential grade‑level standards; if a specific aid is infeasible, provide an effective alternative.</w:t>
      </w:r>
    </w:p>
    <w:p>
      <w:pPr>
        <w:pStyle w:val="BrandHeading"/>
      </w:pPr>
      <w:r>
        <w:br/>
        <w:t>Data Privacy &amp; Compliance</w:t>
      </w:r>
    </w:p>
    <w:p>
      <w:pPr>
        <w:pStyle w:val="BodySmall"/>
      </w:pPr>
      <w:r>
        <w:t>FERPA: Treat student submissions, feedback, and identifiers as education records; limit disclosure to school officials under direct control.</w:t>
      </w:r>
    </w:p>
    <w:p>
      <w:pPr>
        <w:pStyle w:val="BodySmall"/>
      </w:pPr>
      <w:r>
        <w:t>COPPA: For students under 13, obtain verifiable parental consent OR operate under the school‑official exception with direct control and parental notice.</w:t>
      </w:r>
    </w:p>
    <w:p>
      <w:pPr>
        <w:pStyle w:val="BodySmall"/>
      </w:pPr>
      <w:r>
        <w:t>PPRA: Obtain consent for surveys covering protected topics; review contents of any AI‑assisted surveys.</w:t>
      </w:r>
    </w:p>
    <w:p>
      <w:pPr>
        <w:pStyle w:val="BodySmall"/>
      </w:pPr>
      <w:r>
        <w:t>IDEA Confidentiality: Protect special education records consistent with FERPA and IDEA Part B.</w:t>
      </w:r>
    </w:p>
    <w:p>
      <w:pPr>
        <w:pStyle w:val="BrandHeading"/>
      </w:pPr>
      <w:r>
        <w:br/>
        <w:t>Assessment Integrity</w:t>
      </w:r>
    </w:p>
    <w:p>
      <w:pPr>
        <w:pStyle w:val="BodySmall"/>
      </w:pPr>
      <w:r>
        <w:t>Design tasks that make process visible (drafts, logs, oral checks); specify allowed AI activities; require brief disclosure where permitted.</w:t>
      </w:r>
    </w:p>
    <w:p>
      <w:pPr>
        <w:pStyle w:val="BodySmall"/>
      </w:pPr>
      <w:r>
        <w:t>Do not rely solely on AI‑detectors for discipline decisions.</w:t>
      </w:r>
    </w:p>
    <w:p>
      <w:pPr>
        <w:pStyle w:val="BrandHeading"/>
      </w:pPr>
      <w:r>
        <w:br/>
        <w:t>Implementation &amp; Review</w:t>
      </w:r>
    </w:p>
    <w:p>
      <w:pPr>
        <w:pStyle w:val="BodySmall"/>
      </w:pPr>
      <w:r>
        <w:t>Publish approved‑tools list; provide teacher/parent guidance; review annually; update as laws and tools change.</w:t>
      </w:r>
    </w:p>
    <w:sectPr w:rsidR="00FC693F" w:rsidRPr="0006063C" w:rsidSect="00034616">
      <w:headerReference w:type="default" r:id="rId9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097280" cy="109728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NextGen Classroom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109728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Small">
    <w:name w:val="BodySmall"/>
    <w:rPr>
      <w:rFonts w:ascii="Calibri" w:hAnsi="Calibri"/>
      <w:sz w:val="22"/>
    </w:rPr>
  </w:style>
  <w:style w:type="paragraph" w:customStyle="1" w:styleId="BrandHeading">
    <w:name w:val="BrandHeading"/>
    <w:rPr>
      <w:rFonts w:ascii="Calibri" w:hAnsi="Calibri"/>
      <w:b/>
      <w:color w:val="585E64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